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20"/>
        <w:tblW w:w="10207" w:type="dxa"/>
        <w:tblInd w:w="-147" w:type="dxa"/>
        <w:tblLook w:val="04A0" w:firstRow="1" w:lastRow="0" w:firstColumn="1" w:lastColumn="0" w:noHBand="0" w:noVBand="1"/>
      </w:tblPr>
      <w:tblGrid>
        <w:gridCol w:w="10207"/>
      </w:tblGrid>
      <w:tr>
        <w:trPr/>
        <w:tc>
          <w:tcPr>
            <w:tcW w:w="1020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0" w:name="_Hlk13868910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1</w:t>
            </w:r>
            <w:r/>
          </w:p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Запросу на участие в Процедуре выбора</w:t>
            </w:r>
            <w:bookmarkEnd w:id="0"/>
            <w:r/>
          </w:p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Соглашение о конфиденциальности и</w:t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неразглашении информации №_____</w:t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.Усть-Каменогорск                                                                                        «___»_________2023 год                                  </w:t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Настоящее Соглашение о конфиденциальности и неразглашении информации (далее – Соглашение) составлено и заключено между: ТОО «АЭС Усть-Каменогорская ГЭС», расположенным по адресу: 070001, Республика Казахстан, Восточно-Казахстанская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г.Усть-Каменогорск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ул.Шлюзная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здание 35 - компанией, созданной в соответствии с законодательством Республики Казахстан, в лице Генерального директора Балабатырова Аскара Сейтжан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овича, действующего на основании Устава ТОО «АЭС Усть-Каменогорская ГЭС» (в дальнейшем именуемое «Разглашающая Сторона»), и между _________________, созданной в соответствии с законодательством Республики Казахстан, в лице ____________ г-на ______________,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действующего на основании (в дальнейшем именуемое «Получающая сторона»), в дальнейшем по отдельности именуются «Сторона» и совместно именуются «Стороны».</w:t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ПРЕДПОСЫЛКИ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ПОСКОЛЬКУ: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(i) Стороны находятся или будут находиться в процессе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установления потенциальных договорных отношений по аудиту финансовой отчетности ТОО «АЭС Усть-Каменогорская ГЭС» за 2023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дальнейшем именуемые «Проект»);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Стороны в ходе таких оценок, обсуждений и переговоров могут раскрыть друг другу определенную Конфиденциальную информацию (как определено ниже); и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Стороны договорились о том, что разглашение и использование Конфиденциальной информации осуществляется в соответствии с условиями и положениями настоящего Соглашения о неразглашении (далее «Соглашение»),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УЧЕТОМ ВЫШЕИЗЛОЖЕННОГО Стороны договариваются о нижеследующем: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ОПРЕДЕЛЕНИЯ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 При использовании в тексте настоящего Соглашения следующие термины имеют значение, указанное ниже: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Аффилиированное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лицо» - означает любое юридическое лицо, которое на момент разглашения ему любой Конфиденциальной информации осуществляет прямой или косвенный контроль в отношении Стороны, либо находится под контролем любой Стороны;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«Соглашение» означает настоящее Соглашение о неразглашении;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«Конфиденциальная информация» означает любую инфо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рмацию, разглашенную в любой форме (включая, без ограничений, разглашение в письменной или устной форме, в форме образцов, моделей, компьютерных программ или иным образом) Разглашающей Стороной Получающей Стороне по настоящему Соглашению, при условии, что </w:t>
            </w:r>
            <w:r/>
          </w:p>
          <w:p>
            <w:pPr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такая информация на момент разглашения обозначена как «конфиденциальная» или обозначена названием, знаком, фирменным названием или торговой маркой Разглашающей Стороны; </w:t>
            </w:r>
            <w:r/>
          </w:p>
          <w:p>
            <w:pPr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 информации не оставляет сомнений в ее конфиденциальности. Однако, термин Конфиденциальная информация не включает какую-либо информацию, переданную Разглашающей Стороной Получающей Стороне, которая: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(i) На дату Вступления в силу или после нее становится публично доступной без каких-либо нарушений настоящего Соглашения; или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Доказуемым образом была разработана на тот момент Получающей Стороной без использования Конфиденциальной информации; или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В любое время законным образом получена Получающей Стороной от третьей стороны без ограничений в отношении ее раскрытия или использования.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«Предполагаемый договор» означает любой договор, имеющий обязательную силу в будущем, между Сторонами, заключенный в отношении Проекта.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«Разглашающая Сторона» означает Сторону, разглашающую Конфиденциальную информацию другой Стороне по настоящему Договору.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«Дата вступления в силу» означает дату, когда настоящее Соглашение вступает в силу в соответствии со Статьей 9.1 настоящего Соглашения.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«Проект» означает проект, определенный выше в разделе «Предпосылки», пункте (i). 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«Получающая Сторона» означает Сторону, получающую Конфиденциальную информацию от другой Стороны по настоящему Соглашению.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НЕРАЗГЛАШЕНИЕ КОНФИДЕНЦИАЛЬНОЙ ИНФОРМАЦИИ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В течение срока действия настоящего Соглашения (как указано в Статье 9.2 настоящего Соглашения) Получающая Сторона не должна разглашать любой третьей стороне Конфиденциальную информацию, полученную от Разглашающей Стороны.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 Помимо обязательства по неразглашению Конфиденциальной информации третьей стороне, как предусмотрено в Статье 2.1 настоящего Соглашения, Получающая Сторона в течение срока действия настоящего Соглашения несет ответственность за: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Любую утрату, кражу или неумышленное раскрытие содержания Конфиденциальной информации; и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Любое несанкционированное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раскрытие содержания Конфиденциальной информации лицами (включая, без ограничений, настоящих и бывших сотрудников), которым Получающая Сторона по настоящему Соглашению имеет право разглашать Конфиденциальную информацию, полученную от Разглашающей Стороны.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 Получающая Сторона не несет ответственности за такое неумышленное или несанкционированное раскрытие содержания, если она применила такой же 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овень предосторожности для сохранения Конфиденциальной информации, который она применяет для сохранения собственной конфиденциальной информации аналогичной степени важности. Однако, при этом Получающая Сторона должна в любом случае предварительно применить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предосторожности не ниже целесообразного, и, узнав о таком неумышленн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или несанкционированном разглашении содержания, уведомить Разглашающую Сторону об этом в срок не позднее 3 (три) календарных дней с даты такого разглашения и принять разумные меры к смягчению последствий и предотвращению любого последующего разглашения.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ИСПОЛЬЗОВАНИЕ КОНФИДЕНЦИАЛЬНОЙ ИНФОРМАЦИИ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 В течение срока действия настоящего Соглашения (как указано в Статье 9.2 настоящего Соглашения), Получающая Сторона имеет право использования Конфиденциальной информации.</w:t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РАЗРЕШЕННОЕ РАЗГЛАШЕНИЕ КОНФИДЕНЦИАЛЬНОЙ ИНФОРМАЦИИ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Получающая Сторона имеет право разглашения Конфиденциа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льной информации любому из своих Аффилированных лиц, и в таком случае Аффилированное лицо имеет право на использование или разглашение Конфиденциальной информации, но только в рамках, дозволенных для разглашения Получающей Стороне по настоящему Соглашению.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Получающая сторона гарантирует, что любое аффилированное лицо, которому раскрывается конфиденциальная информация, будет обязано подчиняться условиям настоящего Соглашения и соблюдать их.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 Получающая Сторона ограничивает и допускает распространение Конфиденциальной информации, полученной от Разглашающей Стороны, только в отношении тех своих сотрудников и Аффилированных лиц, у которых имеется необходимость в получении такой информации.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4.3. За исключением случаев, предусмотренных в Статье 4.1 настоящего Соглашения, Стороны признают, что Получающая Сторона может разглашать Конфиденциальную информацию, полученную от Разглашающей Стороны, своим подрядчикам, субподрядчикам, агентам или анал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огичным лицам только при наличии предварительного письменного согласия Разглашающей Стороны. В случае предоставления такого согласия Разглашающей Стороной, Получающая Сторона гарантирует, что любой из ее подрядчиков, субподрядчиков, агентов или любых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аналогичных лиц, которым разглашается Конфиденциальная информация, будет обязан подчиняться условиям настоящего Соглашения и соблюдать их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КОПИРОВАНИЕ И ВОЗВРАЩЕНИЕ ПРЕДОСТАВЛЕННЫХ СРЕДСТВ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 Получающая Сторона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права копировать компьютерные программы, документацию и иные документы, предоставленные Разглашающей Стороной по настоящему Соглашению и содержащие Конфиденциальную информацию, за исключением случаев и в рамках, необходимых для осуществления Проекта.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Все компьютерные программы, документация и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документы, предоставленные по настоящему Соглашению и содержащие Конфиденциальную информацию, остаются в собственности Разглашающей Стороны. Такие документы должны быть надлежащим образом возвращены Получающей Стороной по требованию Разглашающей Стороны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ОТСУТСТВИЕ ЗАВЕРЕНИЙ И ГАРАНТИЙ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6.1 Конфиденциальная информация предоставляется «как есть» и факт предоставления Раскрывающей стороной и получения Принимающей стороной конфиденциальной информации в рамках настоящего Соглашения не требует каких-либо дополнительных заверений и гарантий.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НЕРАЗГЛАШЕНИЕ СОДЕРЖАНИЯ ПЕРЕГОВОРОВ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 За исключением случаев, предусмотренных в Статье 4, каждая Сторона принимает на себя обязательство о неразглашении любой третьей стороне, без предварительного письменного согласия, другой Стороны факта проведения Сторонами переговоров по Проекту. 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Стороны признают, что положения настоящего Соглашения применяются в отношении содержания любых таких переговоров.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ОТВЕТСТВЕННОСТЬ СТОРОН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8.1 Ответственность Принимающей стороны за неисполнение своих обязательств по настоящему Соглашению определяется в соответствии с законодательством Республики Казахстан.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8.2 Принимающая сторона несет ответственность за разглашение Конфиденциальной информации, либо несанкционированное использование конфиденциальной информации своими сотрудниками, а также лицами, указанными в Статьях 4.1, 4.3 настоящего Соглашения.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 Принимающая сторона, нару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шившая условия настоящего Соглашения, возмещает Раскрывающей стороне все понесенные расходы и убытки, вызванные таким нарушением, если доказана виновность Принимающей стороны в разглашении информации в соответствии с законодательством Республики Казахстан.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8.4 В случае, если конфиденциальная информация, полученная Принимающей стороной, в ходе Проекта, 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доступна третьим лицам, Раскрывающая сторона вправе досрочно расторгнуть указанное Соглашение в одностороннем порядке при условии, если виновность Принимающей стороны в разглашении этой информации будет прямо установлена и доказана надлежащим образом. 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доказанной виновности Принимающей стороны, Раскрывающая сторона вправе потребовать от Принимающей стороны возмещения убытков, связанных с раскрытием Конфиденциальной информации, в полном объеме.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СРОК СОГЛАШЕНИЯ И РАСТОРЖЕНИЕ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 Настоящее Соглашение вступает в 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 в дату его надлежащего подписания обеими Сторонами. Положения настоящего Соглашения, однако, применяются к любой Конфиденциальной информации, которая могла быть раскрыта в связи с обсуждением и переговорами в отношении Проекта до Даты вступления в силу.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 Настоящее Соглашение остается в силе в течение 5 (пяти) лет с Даты вступления в силу, кроме случаев, когда настоящее Соглашение отменяется Предполагаемым договором.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РЕГУЛИРУЮЩЕЕ ЗАКОНОДАТЕЛЬСТВО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10.1 Настоящее Соглашение регулируется и толкуется в соответствии с законодательством Республики Казахстан.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 Любые споры, разногласия или вопросы между Сторонами в отношении любого обстоятельства, возникающего в связи с настоящим Соглаш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ением или по отношению к нему, не урегулированные Сторонами путем переговоров, подлежат рассмотрению в Специализированном Межрайонном Экономическом суде города Усть-Каменогорска, Республика Казахстан в соответствии с законодательством Республики Казахстан.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ЗАКЛЮЧИТЕЛЬНЫЕ ПОЛОЖЕНИЯ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 Настоящее Соглашение подписано Сторонами в 2 (двух) экземплярах, имеющих равную юридическую силу, по 1 (одному) для каждой Стороны.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СТОРОН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ТОО «АЭС Усть-Каменогорская ГЭС»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Казахстан, Восточно-Казахстанская область, 070001, г. Усть-Каменогорск,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ул.Шлюзная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здание 35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Расшифровка подписи: Балабатыров Аскар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Сейтжанович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Должность: Генеральный директор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/>
          </w:p>
        </w:tc>
      </w:tr>
      <w:tr>
        <w:trPr/>
        <w:tc>
          <w:tcPr>
            <w:tcW w:w="102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СТОРОН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Расшифровка подписи: 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Должность: </w:t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Дата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/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ind w:firstLine="5103"/>
        <w:spacing w:after="0" w:line="240" w:lineRule="auto"/>
        <w:widowControl w:val="off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</w:r>
      <w:r/>
    </w:p>
    <w:p>
      <w:pPr>
        <w:ind w:firstLine="5103"/>
        <w:spacing w:after="0" w:line="240" w:lineRule="auto"/>
        <w:widowControl w:val="off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</w:r>
      <w:r/>
    </w:p>
    <w:p>
      <w:pPr>
        <w:ind w:firstLine="5103"/>
        <w:spacing w:after="0" w:line="240" w:lineRule="auto"/>
        <w:widowControl w:val="off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</w:r>
      <w:r/>
    </w:p>
    <w:p>
      <w:pPr>
        <w:ind w:firstLine="5103"/>
        <w:spacing w:after="0" w:line="240" w:lineRule="auto"/>
        <w:widowControl w:val="off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709" w:right="851" w:bottom="993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Segoe UI">
    <w:panose1 w:val="020B0502040504020204"/>
  </w:font>
  <w:font w:name="Malgun Gothic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09" w:hanging="142"/>
      </w:pPr>
      <w:rPr>
        <w:rFonts w:ascii="Arial" w:hAnsi="Arial" w:cs="Times New Roman" w:eastAsia="Arial" w:hint="default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1684" w:hanging="142"/>
      </w:pPr>
    </w:lvl>
    <w:lvl w:ilvl="2">
      <w:start w:val="1"/>
      <w:numFmt w:val="bullet"/>
      <w:isLgl w:val="false"/>
      <w:suff w:val="tab"/>
      <w:lvlText w:val="•"/>
      <w:lvlJc w:val="left"/>
      <w:pPr>
        <w:ind w:left="2659" w:hanging="142"/>
      </w:pPr>
    </w:lvl>
    <w:lvl w:ilvl="3">
      <w:start w:val="1"/>
      <w:numFmt w:val="bullet"/>
      <w:isLgl w:val="false"/>
      <w:suff w:val="tab"/>
      <w:lvlText w:val="•"/>
      <w:lvlJc w:val="left"/>
      <w:pPr>
        <w:ind w:left="3634" w:hanging="142"/>
      </w:pPr>
    </w:lvl>
    <w:lvl w:ilvl="4">
      <w:start w:val="1"/>
      <w:numFmt w:val="bullet"/>
      <w:isLgl w:val="false"/>
      <w:suff w:val="tab"/>
      <w:lvlText w:val="•"/>
      <w:lvlJc w:val="left"/>
      <w:pPr>
        <w:ind w:left="4608" w:hanging="142"/>
      </w:pPr>
    </w:lvl>
    <w:lvl w:ilvl="5">
      <w:start w:val="1"/>
      <w:numFmt w:val="bullet"/>
      <w:isLgl w:val="false"/>
      <w:suff w:val="tab"/>
      <w:lvlText w:val="•"/>
      <w:lvlJc w:val="left"/>
      <w:pPr>
        <w:ind w:left="5583" w:hanging="142"/>
      </w:pPr>
    </w:lvl>
    <w:lvl w:ilvl="6">
      <w:start w:val="1"/>
      <w:numFmt w:val="bullet"/>
      <w:isLgl w:val="false"/>
      <w:suff w:val="tab"/>
      <w:lvlText w:val="•"/>
      <w:lvlJc w:val="left"/>
      <w:pPr>
        <w:ind w:left="6558" w:hanging="142"/>
      </w:pPr>
    </w:lvl>
    <w:lvl w:ilvl="7">
      <w:start w:val="1"/>
      <w:numFmt w:val="bullet"/>
      <w:isLgl w:val="false"/>
      <w:suff w:val="tab"/>
      <w:lvlText w:val="•"/>
      <w:lvlJc w:val="left"/>
      <w:pPr>
        <w:ind w:left="7533" w:hanging="142"/>
      </w:pPr>
    </w:lvl>
    <w:lvl w:ilvl="8">
      <w:start w:val="1"/>
      <w:numFmt w:val="bullet"/>
      <w:isLgl w:val="false"/>
      <w:suff w:val="tab"/>
      <w:lvlText w:val="•"/>
      <w:lvlJc w:val="left"/>
      <w:pPr>
        <w:ind w:left="8507" w:hanging="142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8" w:hanging="286"/>
      </w:pPr>
      <w:rPr>
        <w:rFonts w:ascii="Times New Roman" w:hAnsi="Times New Roman" w:cs="Times New Roman" w:eastAsia="Times New Roman" w:hint="default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1093" w:hanging="286"/>
      </w:pPr>
    </w:lvl>
    <w:lvl w:ilvl="2">
      <w:start w:val="1"/>
      <w:numFmt w:val="bullet"/>
      <w:isLgl w:val="false"/>
      <w:suff w:val="tab"/>
      <w:lvlText w:val="•"/>
      <w:lvlJc w:val="left"/>
      <w:pPr>
        <w:ind w:left="2068" w:hanging="286"/>
      </w:pPr>
    </w:lvl>
    <w:lvl w:ilvl="3">
      <w:start w:val="1"/>
      <w:numFmt w:val="bullet"/>
      <w:isLgl w:val="false"/>
      <w:suff w:val="tab"/>
      <w:lvlText w:val="•"/>
      <w:lvlJc w:val="left"/>
      <w:pPr>
        <w:ind w:left="3043" w:hanging="286"/>
      </w:pPr>
    </w:lvl>
    <w:lvl w:ilvl="4">
      <w:start w:val="1"/>
      <w:numFmt w:val="bullet"/>
      <w:isLgl w:val="false"/>
      <w:suff w:val="tab"/>
      <w:lvlText w:val="•"/>
      <w:lvlJc w:val="left"/>
      <w:pPr>
        <w:ind w:left="4017" w:hanging="286"/>
      </w:pPr>
    </w:lvl>
    <w:lvl w:ilvl="5">
      <w:start w:val="1"/>
      <w:numFmt w:val="bullet"/>
      <w:isLgl w:val="false"/>
      <w:suff w:val="tab"/>
      <w:lvlText w:val="•"/>
      <w:lvlJc w:val="left"/>
      <w:pPr>
        <w:ind w:left="4992" w:hanging="286"/>
      </w:pPr>
    </w:lvl>
    <w:lvl w:ilvl="6">
      <w:start w:val="1"/>
      <w:numFmt w:val="bullet"/>
      <w:isLgl w:val="false"/>
      <w:suff w:val="tab"/>
      <w:lvlText w:val="•"/>
      <w:lvlJc w:val="left"/>
      <w:pPr>
        <w:ind w:left="5967" w:hanging="286"/>
      </w:pPr>
    </w:lvl>
    <w:lvl w:ilvl="7">
      <w:start w:val="1"/>
      <w:numFmt w:val="bullet"/>
      <w:isLgl w:val="false"/>
      <w:suff w:val="tab"/>
      <w:lvlText w:val="•"/>
      <w:lvlJc w:val="left"/>
      <w:pPr>
        <w:ind w:left="6942" w:hanging="286"/>
      </w:pPr>
    </w:lvl>
    <w:lvl w:ilvl="8">
      <w:start w:val="1"/>
      <w:numFmt w:val="bullet"/>
      <w:isLgl w:val="false"/>
      <w:suff w:val="tab"/>
      <w:lvlText w:val="•"/>
      <w:lvlJc w:val="left"/>
      <w:pPr>
        <w:ind w:left="7916" w:hanging="286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20" w:hanging="360"/>
        <w:tabs>
          <w:tab w:val="num" w:pos="1620" w:leader="none"/>
        </w:tabs>
      </w:p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7" w:hanging="180"/>
      </w:pPr>
    </w:lvl>
  </w:abstractNum>
  <w:abstractNum w:abstractNumId="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cstheme="minorBidi"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567" w:hanging="567"/>
        <w:tabs>
          <w:tab w:val="num" w:pos="567" w:leader="none"/>
        </w:tabs>
      </w:pPr>
      <w:rPr>
        <w:rFonts w:ascii="Arial" w:hAnsi="Arial" w:eastAsia="Times New Roman" w:hint="default"/>
        <w:color w:val="auto"/>
      </w:rPr>
    </w:lvl>
    <w:lvl w:ilvl="1">
      <w:start w:val="1"/>
      <w:numFmt w:val="bullet"/>
      <w:isLgl w:val="false"/>
      <w:suff w:val="tab"/>
      <w:lvlText w:val="–"/>
      <w:lvlJc w:val="left"/>
      <w:pPr>
        <w:ind w:left="1134" w:hanging="567"/>
        <w:tabs>
          <w:tab w:val="num" w:pos="1134" w:leader="none"/>
        </w:tabs>
      </w:pPr>
      <w:rPr>
        <w:rFonts w:ascii="Times New Roman" w:hAnsi="Times New Roman" w:hint="default"/>
      </w:rPr>
    </w:lvl>
    <w:lvl w:ilvl="2">
      <w:start w:val="1"/>
      <w:numFmt w:val="decimal"/>
      <w:isLgl w:val="false"/>
      <w:suff w:val="tab"/>
      <w:lvlText w:val="%3."/>
      <w:lvlJc w:val="left"/>
      <w:pPr>
        <w:ind w:left="1440"/>
        <w:tabs>
          <w:tab w:val="num" w:pos="1800" w:leader="none"/>
        </w:tabs>
      </w:pPr>
      <w:rPr>
        <w:rFonts w:cs="Times New Roman" w:hint="default"/>
      </w:rPr>
    </w:lvl>
    <w:lvl w:ilvl="3">
      <w:start w:val="1"/>
      <w:numFmt w:val="lowerLetter"/>
      <w:isLgl w:val="false"/>
      <w:suff w:val="tab"/>
      <w:lvlText w:val="%4)"/>
      <w:lvlJc w:val="left"/>
      <w:pPr>
        <w:ind w:left="2160"/>
        <w:tabs>
          <w:tab w:val="num" w:pos="2520" w:leader="none"/>
        </w:tabs>
      </w:pPr>
      <w:rPr>
        <w:rFonts w:cs="Times New Roman" w:hint="default"/>
      </w:rPr>
    </w:lvl>
    <w:lvl w:ilvl="4">
      <w:start w:val="1"/>
      <w:numFmt w:val="decimal"/>
      <w:isLgl w:val="false"/>
      <w:suff w:val="tab"/>
      <w:lvlText w:val="(%5)"/>
      <w:lvlJc w:val="left"/>
      <w:pPr>
        <w:ind w:left="2880"/>
        <w:tabs>
          <w:tab w:val="num" w:pos="3240" w:leader="none"/>
        </w:tabs>
      </w:pPr>
      <w:rPr>
        <w:rFonts w:cs="Times New Roman" w:hint="default"/>
      </w:rPr>
    </w:lvl>
    <w:lvl w:ilvl="5">
      <w:start w:val="1"/>
      <w:numFmt w:val="lowerLetter"/>
      <w:isLgl w:val="false"/>
      <w:suff w:val="tab"/>
      <w:lvlText w:val="(%6)"/>
      <w:lvlJc w:val="left"/>
      <w:pPr>
        <w:ind w:left="3600"/>
        <w:tabs>
          <w:tab w:val="num" w:pos="3960" w:leader="none"/>
        </w:tabs>
      </w:pPr>
      <w:rPr>
        <w:rFonts w:cs="Times New Roman" w:hint="default"/>
      </w:rPr>
    </w:lvl>
    <w:lvl w:ilvl="6">
      <w:start w:val="1"/>
      <w:numFmt w:val="lowerRoman"/>
      <w:isLgl w:val="false"/>
      <w:suff w:val="tab"/>
      <w:lvlText w:val="(%7)"/>
      <w:lvlJc w:val="left"/>
      <w:pPr>
        <w:ind w:left="4320"/>
        <w:tabs>
          <w:tab w:val="num" w:pos="4680" w:leader="none"/>
        </w:tabs>
      </w:pPr>
      <w:rPr>
        <w:rFonts w:cs="Times New Roman" w:hint="default"/>
      </w:rPr>
    </w:lvl>
    <w:lvl w:ilvl="7">
      <w:start w:val="1"/>
      <w:numFmt w:val="lowerLetter"/>
      <w:isLgl w:val="false"/>
      <w:suff w:val="tab"/>
      <w:lvlText w:val="(%8)"/>
      <w:lvlJc w:val="left"/>
      <w:pPr>
        <w:ind w:left="5040"/>
        <w:tabs>
          <w:tab w:val="num" w:pos="5400" w:leader="none"/>
        </w:tabs>
      </w:pPr>
      <w:rPr>
        <w:rFonts w:cs="Times New Roman" w:hint="default"/>
      </w:rPr>
    </w:lvl>
    <w:lvl w:ilvl="8">
      <w:start w:val="1"/>
      <w:numFmt w:val="lowerRoman"/>
      <w:isLgl w:val="false"/>
      <w:suff w:val="tab"/>
      <w:lvlText w:val="(%9)"/>
      <w:lvlJc w:val="left"/>
      <w:pPr>
        <w:ind w:left="5760"/>
        <w:tabs>
          <w:tab w:val="num" w:pos="6120" w:leader="none"/>
        </w:tabs>
      </w:pPr>
      <w:rPr>
        <w:rFonts w:cs="Times New Roman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147" w:hanging="13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7" w:hanging="180"/>
      </w:pPr>
    </w:lvl>
  </w:abstractNum>
  <w:abstractNum w:abstractNumId="1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8" w:hanging="286"/>
      </w:pPr>
      <w:rPr>
        <w:rFonts w:ascii="Times New Roman" w:hAnsi="Times New Roman" w:cs="Times New Roman" w:eastAsia="Times New Roman" w:hint="default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1093" w:hanging="286"/>
      </w:pPr>
    </w:lvl>
    <w:lvl w:ilvl="2">
      <w:start w:val="1"/>
      <w:numFmt w:val="bullet"/>
      <w:isLgl w:val="false"/>
      <w:suff w:val="tab"/>
      <w:lvlText w:val="•"/>
      <w:lvlJc w:val="left"/>
      <w:pPr>
        <w:ind w:left="2068" w:hanging="286"/>
      </w:pPr>
    </w:lvl>
    <w:lvl w:ilvl="3">
      <w:start w:val="1"/>
      <w:numFmt w:val="bullet"/>
      <w:isLgl w:val="false"/>
      <w:suff w:val="tab"/>
      <w:lvlText w:val="•"/>
      <w:lvlJc w:val="left"/>
      <w:pPr>
        <w:ind w:left="3043" w:hanging="286"/>
      </w:pPr>
    </w:lvl>
    <w:lvl w:ilvl="4">
      <w:start w:val="1"/>
      <w:numFmt w:val="bullet"/>
      <w:isLgl w:val="false"/>
      <w:suff w:val="tab"/>
      <w:lvlText w:val="•"/>
      <w:lvlJc w:val="left"/>
      <w:pPr>
        <w:ind w:left="4017" w:hanging="286"/>
      </w:pPr>
    </w:lvl>
    <w:lvl w:ilvl="5">
      <w:start w:val="1"/>
      <w:numFmt w:val="bullet"/>
      <w:isLgl w:val="false"/>
      <w:suff w:val="tab"/>
      <w:lvlText w:val="•"/>
      <w:lvlJc w:val="left"/>
      <w:pPr>
        <w:ind w:left="4992" w:hanging="286"/>
      </w:pPr>
    </w:lvl>
    <w:lvl w:ilvl="6">
      <w:start w:val="1"/>
      <w:numFmt w:val="bullet"/>
      <w:isLgl w:val="false"/>
      <w:suff w:val="tab"/>
      <w:lvlText w:val="•"/>
      <w:lvlJc w:val="left"/>
      <w:pPr>
        <w:ind w:left="5967" w:hanging="286"/>
      </w:pPr>
    </w:lvl>
    <w:lvl w:ilvl="7">
      <w:start w:val="1"/>
      <w:numFmt w:val="bullet"/>
      <w:isLgl w:val="false"/>
      <w:suff w:val="tab"/>
      <w:lvlText w:val="•"/>
      <w:lvlJc w:val="left"/>
      <w:pPr>
        <w:ind w:left="6942" w:hanging="286"/>
      </w:pPr>
    </w:lvl>
    <w:lvl w:ilvl="8">
      <w:start w:val="1"/>
      <w:numFmt w:val="bullet"/>
      <w:isLgl w:val="false"/>
      <w:suff w:val="tab"/>
      <w:lvlText w:val="•"/>
      <w:lvlJc w:val="left"/>
      <w:pPr>
        <w:ind w:left="7916" w:hanging="286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4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21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4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cs="Times New Roman" w:eastAsia="Times New Roman"/>
        <w:b/>
        <w:bCs w:val="0"/>
        <w:i w:val="0"/>
        <w:iCs w:val="0"/>
        <w:smallCaps w:val="0"/>
        <w:strike w:val="false"/>
        <w:color w:val="000000"/>
        <w:spacing w:val="-1"/>
        <w:position w:val="0"/>
        <w:sz w:val="22"/>
        <w:szCs w:val="22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44" w:hanging="360"/>
      </w:pPr>
      <w:rPr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04" w:hanging="180"/>
      </w:pPr>
    </w:lvl>
  </w:abstractNum>
  <w:abstractNum w:abstractNumId="1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18" w:hanging="286"/>
      </w:pPr>
      <w:rPr>
        <w:rFonts w:ascii="Times New Roman" w:hAnsi="Times New Roman" w:cs="Times New Roman" w:eastAsia="Times New Roman" w:hint="default"/>
        <w:spacing w:val="-1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1093" w:hanging="286"/>
      </w:pPr>
    </w:lvl>
    <w:lvl w:ilvl="2">
      <w:start w:val="1"/>
      <w:numFmt w:val="bullet"/>
      <w:isLgl w:val="false"/>
      <w:suff w:val="tab"/>
      <w:lvlText w:val="•"/>
      <w:lvlJc w:val="left"/>
      <w:pPr>
        <w:ind w:left="2068" w:hanging="286"/>
      </w:pPr>
    </w:lvl>
    <w:lvl w:ilvl="3">
      <w:start w:val="1"/>
      <w:numFmt w:val="bullet"/>
      <w:isLgl w:val="false"/>
      <w:suff w:val="tab"/>
      <w:lvlText w:val="•"/>
      <w:lvlJc w:val="left"/>
      <w:pPr>
        <w:ind w:left="3043" w:hanging="286"/>
      </w:pPr>
    </w:lvl>
    <w:lvl w:ilvl="4">
      <w:start w:val="1"/>
      <w:numFmt w:val="bullet"/>
      <w:isLgl w:val="false"/>
      <w:suff w:val="tab"/>
      <w:lvlText w:val="•"/>
      <w:lvlJc w:val="left"/>
      <w:pPr>
        <w:ind w:left="4017" w:hanging="286"/>
      </w:pPr>
    </w:lvl>
    <w:lvl w:ilvl="5">
      <w:start w:val="1"/>
      <w:numFmt w:val="bullet"/>
      <w:isLgl w:val="false"/>
      <w:suff w:val="tab"/>
      <w:lvlText w:val="•"/>
      <w:lvlJc w:val="left"/>
      <w:pPr>
        <w:ind w:left="4992" w:hanging="286"/>
      </w:pPr>
    </w:lvl>
    <w:lvl w:ilvl="6">
      <w:start w:val="1"/>
      <w:numFmt w:val="bullet"/>
      <w:isLgl w:val="false"/>
      <w:suff w:val="tab"/>
      <w:lvlText w:val="•"/>
      <w:lvlJc w:val="left"/>
      <w:pPr>
        <w:ind w:left="5967" w:hanging="286"/>
      </w:pPr>
    </w:lvl>
    <w:lvl w:ilvl="7">
      <w:start w:val="1"/>
      <w:numFmt w:val="bullet"/>
      <w:isLgl w:val="false"/>
      <w:suff w:val="tab"/>
      <w:lvlText w:val="•"/>
      <w:lvlJc w:val="left"/>
      <w:pPr>
        <w:ind w:left="6942" w:hanging="286"/>
      </w:pPr>
    </w:lvl>
    <w:lvl w:ilvl="8">
      <w:start w:val="1"/>
      <w:numFmt w:val="bullet"/>
      <w:isLgl w:val="false"/>
      <w:suff w:val="tab"/>
      <w:lvlText w:val="•"/>
      <w:lvlJc w:val="left"/>
      <w:pPr>
        <w:ind w:left="7916" w:hanging="286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18" w:hanging="286"/>
      </w:pPr>
      <w:rPr>
        <w:rFonts w:ascii="Arial" w:hAnsi="Arial" w:cs="Times New Roman" w:eastAsia="Arial" w:hint="default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1093" w:hanging="286"/>
      </w:pPr>
    </w:lvl>
    <w:lvl w:ilvl="2">
      <w:start w:val="1"/>
      <w:numFmt w:val="bullet"/>
      <w:isLgl w:val="false"/>
      <w:suff w:val="tab"/>
      <w:lvlText w:val="•"/>
      <w:lvlJc w:val="left"/>
      <w:pPr>
        <w:ind w:left="2068" w:hanging="286"/>
      </w:pPr>
    </w:lvl>
    <w:lvl w:ilvl="3">
      <w:start w:val="1"/>
      <w:numFmt w:val="bullet"/>
      <w:isLgl w:val="false"/>
      <w:suff w:val="tab"/>
      <w:lvlText w:val="•"/>
      <w:lvlJc w:val="left"/>
      <w:pPr>
        <w:ind w:left="3043" w:hanging="286"/>
      </w:pPr>
    </w:lvl>
    <w:lvl w:ilvl="4">
      <w:start w:val="1"/>
      <w:numFmt w:val="bullet"/>
      <w:isLgl w:val="false"/>
      <w:suff w:val="tab"/>
      <w:lvlText w:val="•"/>
      <w:lvlJc w:val="left"/>
      <w:pPr>
        <w:ind w:left="4017" w:hanging="286"/>
      </w:pPr>
    </w:lvl>
    <w:lvl w:ilvl="5">
      <w:start w:val="1"/>
      <w:numFmt w:val="bullet"/>
      <w:isLgl w:val="false"/>
      <w:suff w:val="tab"/>
      <w:lvlText w:val="•"/>
      <w:lvlJc w:val="left"/>
      <w:pPr>
        <w:ind w:left="4992" w:hanging="286"/>
      </w:pPr>
    </w:lvl>
    <w:lvl w:ilvl="6">
      <w:start w:val="1"/>
      <w:numFmt w:val="bullet"/>
      <w:isLgl w:val="false"/>
      <w:suff w:val="tab"/>
      <w:lvlText w:val="•"/>
      <w:lvlJc w:val="left"/>
      <w:pPr>
        <w:ind w:left="5967" w:hanging="286"/>
      </w:pPr>
    </w:lvl>
    <w:lvl w:ilvl="7">
      <w:start w:val="1"/>
      <w:numFmt w:val="bullet"/>
      <w:isLgl w:val="false"/>
      <w:suff w:val="tab"/>
      <w:lvlText w:val="•"/>
      <w:lvlJc w:val="left"/>
      <w:pPr>
        <w:ind w:left="6942" w:hanging="286"/>
      </w:pPr>
    </w:lvl>
    <w:lvl w:ilvl="8">
      <w:start w:val="1"/>
      <w:numFmt w:val="bullet"/>
      <w:isLgl w:val="false"/>
      <w:suff w:val="tab"/>
      <w:lvlText w:val="•"/>
      <w:lvlJc w:val="left"/>
      <w:pPr>
        <w:ind w:left="7916" w:hanging="286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90" w:hanging="286"/>
      </w:pPr>
      <w:rPr>
        <w:rFonts w:ascii="Symbol" w:hAnsi="Symbol" w:eastAsia="Symbol" w:hint="default"/>
        <w:sz w:val="24"/>
        <w:szCs w:val="24"/>
      </w:rPr>
    </w:lvl>
    <w:lvl w:ilvl="1">
      <w:start w:val="1"/>
      <w:numFmt w:val="bullet"/>
      <w:isLgl w:val="false"/>
      <w:suff w:val="tab"/>
      <w:lvlText w:val="-"/>
      <w:lvlJc w:val="left"/>
      <w:pPr>
        <w:ind w:left="118" w:hanging="257"/>
      </w:pPr>
      <w:rPr>
        <w:rFonts w:ascii="Times New Roman" w:hAnsi="Times New Roman" w:cs="Times New Roman" w:eastAsia="Times New Roman" w:hint="default"/>
        <w:sz w:val="24"/>
        <w:szCs w:val="24"/>
      </w:rPr>
    </w:lvl>
    <w:lvl w:ilvl="2">
      <w:start w:val="1"/>
      <w:numFmt w:val="bullet"/>
      <w:isLgl w:val="false"/>
      <w:suff w:val="tab"/>
      <w:lvlText w:val="•"/>
      <w:lvlJc w:val="left"/>
      <w:pPr>
        <w:ind w:left="1519" w:hanging="257"/>
      </w:pPr>
    </w:lvl>
    <w:lvl w:ilvl="3">
      <w:start w:val="1"/>
      <w:numFmt w:val="bullet"/>
      <w:isLgl w:val="false"/>
      <w:suff w:val="tab"/>
      <w:lvlText w:val="•"/>
      <w:lvlJc w:val="left"/>
      <w:pPr>
        <w:ind w:left="2447" w:hanging="257"/>
      </w:pPr>
    </w:lvl>
    <w:lvl w:ilvl="4">
      <w:start w:val="1"/>
      <w:numFmt w:val="bullet"/>
      <w:isLgl w:val="false"/>
      <w:suff w:val="tab"/>
      <w:lvlText w:val="•"/>
      <w:lvlJc w:val="left"/>
      <w:pPr>
        <w:ind w:left="3376" w:hanging="257"/>
      </w:pPr>
    </w:lvl>
    <w:lvl w:ilvl="5">
      <w:start w:val="1"/>
      <w:numFmt w:val="bullet"/>
      <w:isLgl w:val="false"/>
      <w:suff w:val="tab"/>
      <w:lvlText w:val="•"/>
      <w:lvlJc w:val="left"/>
      <w:pPr>
        <w:ind w:left="4304" w:hanging="257"/>
      </w:pPr>
    </w:lvl>
    <w:lvl w:ilvl="6">
      <w:start w:val="1"/>
      <w:numFmt w:val="bullet"/>
      <w:isLgl w:val="false"/>
      <w:suff w:val="tab"/>
      <w:lvlText w:val="•"/>
      <w:lvlJc w:val="left"/>
      <w:pPr>
        <w:ind w:left="5232" w:hanging="257"/>
      </w:pPr>
    </w:lvl>
    <w:lvl w:ilvl="7">
      <w:start w:val="1"/>
      <w:numFmt w:val="bullet"/>
      <w:isLgl w:val="false"/>
      <w:suff w:val="tab"/>
      <w:lvlText w:val="•"/>
      <w:lvlJc w:val="left"/>
      <w:pPr>
        <w:ind w:left="6161" w:hanging="257"/>
      </w:pPr>
    </w:lvl>
    <w:lvl w:ilvl="8">
      <w:start w:val="1"/>
      <w:numFmt w:val="bullet"/>
      <w:isLgl w:val="false"/>
      <w:suff w:val="tab"/>
      <w:lvlText w:val="•"/>
      <w:lvlJc w:val="left"/>
      <w:pPr>
        <w:ind w:left="7089" w:hanging="257"/>
      </w:p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637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21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4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18" w:hanging="286"/>
      </w:pPr>
      <w:rPr>
        <w:rFonts w:ascii="Times New Roman" w:hAnsi="Times New Roman" w:cs="Times New Roman" w:eastAsia="Times New Roman" w:hint="default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1093" w:hanging="286"/>
      </w:pPr>
    </w:lvl>
    <w:lvl w:ilvl="2">
      <w:start w:val="1"/>
      <w:numFmt w:val="bullet"/>
      <w:isLgl w:val="false"/>
      <w:suff w:val="tab"/>
      <w:lvlText w:val="•"/>
      <w:lvlJc w:val="left"/>
      <w:pPr>
        <w:ind w:left="2068" w:hanging="286"/>
      </w:pPr>
    </w:lvl>
    <w:lvl w:ilvl="3">
      <w:start w:val="1"/>
      <w:numFmt w:val="bullet"/>
      <w:isLgl w:val="false"/>
      <w:suff w:val="tab"/>
      <w:lvlText w:val="•"/>
      <w:lvlJc w:val="left"/>
      <w:pPr>
        <w:ind w:left="3043" w:hanging="286"/>
      </w:pPr>
    </w:lvl>
    <w:lvl w:ilvl="4">
      <w:start w:val="1"/>
      <w:numFmt w:val="bullet"/>
      <w:isLgl w:val="false"/>
      <w:suff w:val="tab"/>
      <w:lvlText w:val="•"/>
      <w:lvlJc w:val="left"/>
      <w:pPr>
        <w:ind w:left="4017" w:hanging="286"/>
      </w:pPr>
    </w:lvl>
    <w:lvl w:ilvl="5">
      <w:start w:val="1"/>
      <w:numFmt w:val="bullet"/>
      <w:isLgl w:val="false"/>
      <w:suff w:val="tab"/>
      <w:lvlText w:val="•"/>
      <w:lvlJc w:val="left"/>
      <w:pPr>
        <w:ind w:left="4992" w:hanging="286"/>
      </w:pPr>
    </w:lvl>
    <w:lvl w:ilvl="6">
      <w:start w:val="1"/>
      <w:numFmt w:val="bullet"/>
      <w:isLgl w:val="false"/>
      <w:suff w:val="tab"/>
      <w:lvlText w:val="•"/>
      <w:lvlJc w:val="left"/>
      <w:pPr>
        <w:ind w:left="5967" w:hanging="286"/>
      </w:pPr>
    </w:lvl>
    <w:lvl w:ilvl="7">
      <w:start w:val="1"/>
      <w:numFmt w:val="bullet"/>
      <w:isLgl w:val="false"/>
      <w:suff w:val="tab"/>
      <w:lvlText w:val="•"/>
      <w:lvlJc w:val="left"/>
      <w:pPr>
        <w:ind w:left="6942" w:hanging="286"/>
      </w:pPr>
    </w:lvl>
    <w:lvl w:ilvl="8">
      <w:start w:val="1"/>
      <w:numFmt w:val="bullet"/>
      <w:isLgl w:val="false"/>
      <w:suff w:val="tab"/>
      <w:lvlText w:val="•"/>
      <w:lvlJc w:val="left"/>
      <w:pPr>
        <w:ind w:left="7916" w:hanging="286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147" w:hanging="13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7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18" w:hanging="286"/>
      </w:pPr>
      <w:rPr>
        <w:rFonts w:ascii="Arial" w:hAnsi="Arial" w:cs="Times New Roman" w:eastAsia="Arial" w:hint="default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1093" w:hanging="286"/>
      </w:pPr>
    </w:lvl>
    <w:lvl w:ilvl="2">
      <w:start w:val="1"/>
      <w:numFmt w:val="bullet"/>
      <w:isLgl w:val="false"/>
      <w:suff w:val="tab"/>
      <w:lvlText w:val="•"/>
      <w:lvlJc w:val="left"/>
      <w:pPr>
        <w:ind w:left="2068" w:hanging="286"/>
      </w:pPr>
    </w:lvl>
    <w:lvl w:ilvl="3">
      <w:start w:val="1"/>
      <w:numFmt w:val="bullet"/>
      <w:isLgl w:val="false"/>
      <w:suff w:val="tab"/>
      <w:lvlText w:val="•"/>
      <w:lvlJc w:val="left"/>
      <w:pPr>
        <w:ind w:left="3043" w:hanging="286"/>
      </w:pPr>
    </w:lvl>
    <w:lvl w:ilvl="4">
      <w:start w:val="1"/>
      <w:numFmt w:val="bullet"/>
      <w:isLgl w:val="false"/>
      <w:suff w:val="tab"/>
      <w:lvlText w:val="•"/>
      <w:lvlJc w:val="left"/>
      <w:pPr>
        <w:ind w:left="4017" w:hanging="286"/>
      </w:pPr>
    </w:lvl>
    <w:lvl w:ilvl="5">
      <w:start w:val="1"/>
      <w:numFmt w:val="bullet"/>
      <w:isLgl w:val="false"/>
      <w:suff w:val="tab"/>
      <w:lvlText w:val="•"/>
      <w:lvlJc w:val="left"/>
      <w:pPr>
        <w:ind w:left="4992" w:hanging="286"/>
      </w:pPr>
    </w:lvl>
    <w:lvl w:ilvl="6">
      <w:start w:val="1"/>
      <w:numFmt w:val="bullet"/>
      <w:isLgl w:val="false"/>
      <w:suff w:val="tab"/>
      <w:lvlText w:val="•"/>
      <w:lvlJc w:val="left"/>
      <w:pPr>
        <w:ind w:left="5967" w:hanging="286"/>
      </w:pPr>
    </w:lvl>
    <w:lvl w:ilvl="7">
      <w:start w:val="1"/>
      <w:numFmt w:val="bullet"/>
      <w:isLgl w:val="false"/>
      <w:suff w:val="tab"/>
      <w:lvlText w:val="•"/>
      <w:lvlJc w:val="left"/>
      <w:pPr>
        <w:ind w:left="6942" w:hanging="286"/>
      </w:pPr>
    </w:lvl>
    <w:lvl w:ilvl="8">
      <w:start w:val="1"/>
      <w:numFmt w:val="bullet"/>
      <w:isLgl w:val="false"/>
      <w:suff w:val="tab"/>
      <w:lvlText w:val="•"/>
      <w:lvlJc w:val="left"/>
      <w:pPr>
        <w:ind w:left="7916" w:hanging="286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32" w:hanging="372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567" w:hanging="567"/>
        <w:tabs>
          <w:tab w:val="num" w:pos="567" w:leader="none"/>
        </w:tabs>
      </w:pPr>
      <w:rPr>
        <w:rFonts w:ascii="Arial" w:hAnsi="Arial" w:eastAsia="Times New Roman" w:hint="default"/>
        <w:color w:val="auto"/>
      </w:rPr>
    </w:lvl>
    <w:lvl w:ilvl="1">
      <w:start w:val="1"/>
      <w:numFmt w:val="bullet"/>
      <w:pStyle w:val="718"/>
      <w:isLgl w:val="false"/>
      <w:suff w:val="tab"/>
      <w:lvlText w:val="–"/>
      <w:lvlJc w:val="left"/>
      <w:pPr>
        <w:ind w:left="1134" w:hanging="567"/>
        <w:tabs>
          <w:tab w:val="num" w:pos="1134" w:leader="none"/>
        </w:tabs>
      </w:pPr>
      <w:rPr>
        <w:rFonts w:ascii="Times New Roman" w:hAnsi="Times New Roman" w:hint="default"/>
      </w:rPr>
    </w:lvl>
    <w:lvl w:ilvl="2">
      <w:start w:val="1"/>
      <w:numFmt w:val="decimal"/>
      <w:isLgl w:val="false"/>
      <w:suff w:val="tab"/>
      <w:lvlText w:val="%3."/>
      <w:lvlJc w:val="left"/>
      <w:pPr>
        <w:ind w:left="1440"/>
        <w:tabs>
          <w:tab w:val="num" w:pos="1800" w:leader="none"/>
        </w:tabs>
      </w:pPr>
      <w:rPr>
        <w:rFonts w:cs="Times New Roman" w:hint="default"/>
        <w:b/>
        <w:bCs/>
      </w:rPr>
    </w:lvl>
    <w:lvl w:ilvl="3">
      <w:start w:val="1"/>
      <w:numFmt w:val="lowerLetter"/>
      <w:isLgl w:val="false"/>
      <w:suff w:val="tab"/>
      <w:lvlText w:val="%4)"/>
      <w:lvlJc w:val="left"/>
      <w:pPr>
        <w:ind w:left="2160"/>
        <w:tabs>
          <w:tab w:val="num" w:pos="2520" w:leader="none"/>
        </w:tabs>
      </w:pPr>
      <w:rPr>
        <w:rFonts w:cs="Times New Roman" w:hint="default"/>
      </w:rPr>
    </w:lvl>
    <w:lvl w:ilvl="4">
      <w:start w:val="1"/>
      <w:numFmt w:val="decimal"/>
      <w:isLgl w:val="false"/>
      <w:suff w:val="tab"/>
      <w:lvlText w:val="(%5)"/>
      <w:lvlJc w:val="left"/>
      <w:pPr>
        <w:ind w:left="2880"/>
        <w:tabs>
          <w:tab w:val="num" w:pos="3240" w:leader="none"/>
        </w:tabs>
      </w:pPr>
      <w:rPr>
        <w:rFonts w:cs="Times New Roman" w:hint="default"/>
      </w:rPr>
    </w:lvl>
    <w:lvl w:ilvl="5">
      <w:start w:val="1"/>
      <w:numFmt w:val="lowerLetter"/>
      <w:isLgl w:val="false"/>
      <w:suff w:val="tab"/>
      <w:lvlText w:val="(%6)"/>
      <w:lvlJc w:val="left"/>
      <w:pPr>
        <w:ind w:left="3600"/>
        <w:tabs>
          <w:tab w:val="num" w:pos="3960" w:leader="none"/>
        </w:tabs>
      </w:pPr>
      <w:rPr>
        <w:rFonts w:cs="Times New Roman" w:hint="default"/>
      </w:rPr>
    </w:lvl>
    <w:lvl w:ilvl="6">
      <w:start w:val="1"/>
      <w:numFmt w:val="lowerRoman"/>
      <w:isLgl w:val="false"/>
      <w:suff w:val="tab"/>
      <w:lvlText w:val="(%7)"/>
      <w:lvlJc w:val="left"/>
      <w:pPr>
        <w:ind w:left="4320"/>
        <w:tabs>
          <w:tab w:val="num" w:pos="4680" w:leader="none"/>
        </w:tabs>
      </w:pPr>
      <w:rPr>
        <w:rFonts w:cs="Times New Roman" w:hint="default"/>
      </w:rPr>
    </w:lvl>
    <w:lvl w:ilvl="7">
      <w:start w:val="1"/>
      <w:numFmt w:val="lowerLetter"/>
      <w:isLgl w:val="false"/>
      <w:suff w:val="tab"/>
      <w:lvlText w:val="(%8)"/>
      <w:lvlJc w:val="left"/>
      <w:pPr>
        <w:ind w:left="5040"/>
        <w:tabs>
          <w:tab w:val="num" w:pos="5400" w:leader="none"/>
        </w:tabs>
      </w:pPr>
      <w:rPr>
        <w:rFonts w:cs="Times New Roman" w:hint="default"/>
      </w:rPr>
    </w:lvl>
    <w:lvl w:ilvl="8">
      <w:start w:val="1"/>
      <w:numFmt w:val="lowerRoman"/>
      <w:isLgl w:val="false"/>
      <w:suff w:val="tab"/>
      <w:lvlText w:val="(%9)"/>
      <w:lvlJc w:val="left"/>
      <w:pPr>
        <w:ind w:left="5760"/>
        <w:tabs>
          <w:tab w:val="num" w:pos="6120" w:leader="none"/>
        </w:tabs>
      </w:pPr>
      <w:rPr>
        <w:rFonts w:cs="Times New Roman"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rFonts w:ascii="Times New Roman" w:hAnsi="Times New Roman" w:cs="Times New Roman" w:eastAsia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lowerRoman"/>
      <w:isLgl w:val="false"/>
      <w:suff w:val="tab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isLgl/>
      <w:suff w:val="tab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6" w:hanging="286"/>
      </w:pPr>
      <w:rPr>
        <w:rFonts w:ascii="Times New Roman" w:hAnsi="Times New Roman" w:eastAsia="Times New Roman" w:hint="default"/>
        <w:b/>
        <w:sz w:val="24"/>
        <w:szCs w:val="24"/>
        <w:lang w:val="ru-RU"/>
      </w:rPr>
    </w:lvl>
    <w:lvl w:ilvl="1">
      <w:start w:val="1"/>
      <w:numFmt w:val="bullet"/>
      <w:isLgl w:val="false"/>
      <w:suff w:val="tab"/>
      <w:lvlText w:val="•"/>
      <w:lvlJc w:val="left"/>
      <w:pPr>
        <w:ind w:left="1093" w:hanging="286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068" w:hanging="286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286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4017" w:hanging="286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992" w:hanging="286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286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286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7916" w:hanging="286"/>
      </w:pPr>
      <w:rPr>
        <w:rFonts w:hint="default"/>
      </w:rPr>
    </w:lvl>
  </w:abstractNum>
  <w:abstractNum w:abstractNumId="3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pStyle w:val="693"/>
      <w:isLgl w:val="false"/>
      <w:suff w:val="tab"/>
      <w:lvlText w:val="%1."/>
      <w:lvlJc w:val="left"/>
      <w:pPr>
        <w:ind w:left="-27" w:firstLine="567"/>
        <w:tabs>
          <w:tab w:val="num" w:pos="540" w:leader="none"/>
        </w:tabs>
      </w:pPr>
      <w:rPr>
        <w:rFonts w:hint="default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%2)"/>
      <w:lvlJc w:val="left"/>
      <w:pPr>
        <w:ind w:left="1650" w:hanging="930"/>
      </w:pPr>
      <w:rPr>
        <w:rFonts w:hint="default"/>
        <w:b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7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 w:eastAsia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3"/>
  </w:num>
  <w:num w:numId="3">
    <w:abstractNumId w:val="36"/>
  </w:num>
  <w:num w:numId="4">
    <w:abstractNumId w:val="23"/>
  </w:num>
  <w:num w:numId="5">
    <w:abstractNumId w:val="32"/>
  </w:num>
  <w:num w:numId="6">
    <w:abstractNumId w:val="31"/>
  </w:num>
  <w:num w:numId="7">
    <w:abstractNumId w:val="16"/>
    <w:lvlOverride w:ilvl="0">
      <w:startOverride w:val="1"/>
    </w:lvlOverride>
  </w:num>
  <w:num w:numId="8">
    <w:abstractNumId w:val="11"/>
    <w:lvlOverride w:ilvl="0">
      <w:startOverride w:val="1"/>
    </w:lvlOverride>
  </w:num>
  <w:num w:numId="9">
    <w:abstractNumId w:val="0"/>
  </w:num>
  <w:num w:numId="10">
    <w:abstractNumId w:val="2"/>
    <w:lvlOverride w:ilvl="0">
      <w:startOverride w:val="1"/>
    </w:lvlOverride>
  </w:num>
  <w:num w:numId="11">
    <w:abstractNumId w:val="34"/>
  </w:num>
  <w:num w:numId="12">
    <w:abstractNumId w:val="3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6"/>
  </w:num>
  <w:num w:numId="15">
    <w:abstractNumId w:val="3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4"/>
  </w:num>
  <w:num w:numId="18">
    <w:abstractNumId w:val="4"/>
  </w:num>
  <w:num w:numId="19">
    <w:abstractNumId w:val="5"/>
  </w:num>
  <w:num w:numId="20">
    <w:abstractNumId w:val="9"/>
  </w:num>
  <w:num w:numId="21">
    <w:abstractNumId w:val="18"/>
  </w:num>
  <w:num w:numId="22">
    <w:abstractNumId w:val="1"/>
  </w:num>
  <w:num w:numId="23">
    <w:abstractNumId w:val="8"/>
  </w:num>
  <w:num w:numId="24">
    <w:abstractNumId w:val="14"/>
  </w:num>
  <w:num w:numId="25">
    <w:abstractNumId w:val="19"/>
  </w:num>
  <w:num w:numId="2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2"/>
  </w:num>
  <w:num w:numId="29">
    <w:abstractNumId w:val="25"/>
  </w:num>
  <w:num w:numId="30">
    <w:abstractNumId w:val="27"/>
  </w:num>
  <w:num w:numId="31">
    <w:abstractNumId w:val="13"/>
  </w:num>
  <w:num w:numId="32">
    <w:abstractNumId w:val="12"/>
  </w:num>
  <w:num w:numId="33">
    <w:abstractNumId w:val="10"/>
  </w:num>
  <w:num w:numId="34">
    <w:abstractNumId w:val="35"/>
  </w:num>
  <w:num w:numId="35">
    <w:abstractNumId w:val="7"/>
  </w:num>
  <w:num w:numId="36">
    <w:abstractNumId w:val="28"/>
  </w:num>
  <w:num w:numId="37">
    <w:abstractNumId w:val="37"/>
  </w:num>
  <w:num w:numId="38">
    <w:abstractNumId w:val="20"/>
  </w:num>
  <w:num w:numId="39">
    <w:abstractNumId w:val="30"/>
  </w:num>
  <w:num w:numId="40">
    <w:abstractNumId w:val="28"/>
  </w:num>
  <w:num w:numId="41">
    <w:abstractNumId w:val="28"/>
    <w:lvlOverride w:ilvl="0">
      <w:startOverride w:val="2"/>
    </w:lvlOverride>
    <w:lvlOverride w:ilvl="1">
      <w:startOverride w:val="1"/>
    </w:lvlOverride>
    <w:lvlOverride w:ilvl="2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80"/>
    <w:link w:val="678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80"/>
    <w:link w:val="679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77"/>
    <w:next w:val="677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8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8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8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8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8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8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8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677"/>
    <w:next w:val="677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80"/>
    <w:link w:val="32"/>
    <w:uiPriority w:val="10"/>
    <w:rPr>
      <w:sz w:val="48"/>
      <w:szCs w:val="48"/>
    </w:rPr>
  </w:style>
  <w:style w:type="paragraph" w:styleId="34">
    <w:name w:val="Subtitle"/>
    <w:basedOn w:val="677"/>
    <w:next w:val="677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80"/>
    <w:link w:val="34"/>
    <w:uiPriority w:val="11"/>
    <w:rPr>
      <w:sz w:val="24"/>
      <w:szCs w:val="24"/>
    </w:rPr>
  </w:style>
  <w:style w:type="paragraph" w:styleId="36">
    <w:name w:val="Quote"/>
    <w:basedOn w:val="677"/>
    <w:next w:val="677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character" w:styleId="39">
    <w:name w:val="Intense Quote Char"/>
    <w:link w:val="707"/>
    <w:uiPriority w:val="30"/>
    <w:rPr>
      <w:i/>
    </w:rPr>
  </w:style>
  <w:style w:type="paragraph" w:styleId="40">
    <w:name w:val="Header"/>
    <w:basedOn w:val="677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80"/>
    <w:link w:val="40"/>
    <w:uiPriority w:val="99"/>
  </w:style>
  <w:style w:type="paragraph" w:styleId="42">
    <w:name w:val="Footer"/>
    <w:basedOn w:val="67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80"/>
    <w:link w:val="42"/>
    <w:uiPriority w:val="99"/>
  </w:style>
  <w:style w:type="paragraph" w:styleId="44">
    <w:name w:val="Caption"/>
    <w:basedOn w:val="677"/>
    <w:next w:val="6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77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80"/>
    <w:uiPriority w:val="99"/>
    <w:unhideWhenUsed/>
    <w:rPr>
      <w:vertAlign w:val="superscript"/>
    </w:rPr>
  </w:style>
  <w:style w:type="paragraph" w:styleId="176">
    <w:name w:val="endnote text"/>
    <w:basedOn w:val="677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80"/>
    <w:uiPriority w:val="99"/>
    <w:semiHidden/>
    <w:unhideWhenUsed/>
    <w:rPr>
      <w:vertAlign w:val="superscript"/>
    </w:rPr>
  </w:style>
  <w:style w:type="paragraph" w:styleId="179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</w:style>
  <w:style w:type="paragraph" w:styleId="678">
    <w:name w:val="Heading 1"/>
    <w:basedOn w:val="677"/>
    <w:link w:val="696"/>
    <w:uiPriority w:val="1"/>
    <w:qFormat/>
    <w:pPr>
      <w:ind w:left="1112"/>
      <w:spacing w:after="0" w:line="240" w:lineRule="auto"/>
      <w:widowControl w:val="off"/>
      <w:outlineLvl w:val="0"/>
    </w:pPr>
    <w:rPr>
      <w:rFonts w:ascii="Times New Roman" w:hAnsi="Times New Roman" w:eastAsia="Times New Roman"/>
      <w:b/>
      <w:bCs/>
      <w:sz w:val="24"/>
      <w:szCs w:val="24"/>
      <w:lang w:val="en-US"/>
    </w:rPr>
  </w:style>
  <w:style w:type="paragraph" w:styleId="679">
    <w:name w:val="Heading 2"/>
    <w:basedOn w:val="677"/>
    <w:next w:val="677"/>
    <w:link w:val="697"/>
    <w:uiPriority w:val="9"/>
    <w:semiHidden/>
    <w:unhideWhenUsed/>
    <w:qFormat/>
    <w:pPr>
      <w:keepLines/>
      <w:keepNext/>
      <w:spacing w:before="200" w:after="0" w:line="240" w:lineRule="auto"/>
      <w:widowControl w:val="off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paragraph" w:styleId="683">
    <w:name w:val="List Paragraph"/>
    <w:basedOn w:val="677"/>
    <w:link w:val="684"/>
    <w:uiPriority w:val="34"/>
    <w:qFormat/>
    <w:pPr>
      <w:contextualSpacing/>
      <w:ind w:left="720"/>
    </w:pPr>
  </w:style>
  <w:style w:type="character" w:styleId="684" w:customStyle="1">
    <w:name w:val="Абзац списка Знак"/>
    <w:link w:val="683"/>
    <w:uiPriority w:val="34"/>
  </w:style>
  <w:style w:type="table" w:styleId="685">
    <w:name w:val="Table Grid"/>
    <w:basedOn w:val="68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6">
    <w:name w:val="Balloon Text"/>
    <w:basedOn w:val="677"/>
    <w:link w:val="68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87" w:customStyle="1">
    <w:name w:val="Текст выноски Знак"/>
    <w:basedOn w:val="680"/>
    <w:link w:val="686"/>
    <w:uiPriority w:val="99"/>
    <w:semiHidden/>
    <w:rPr>
      <w:rFonts w:ascii="Segoe UI" w:hAnsi="Segoe UI" w:cs="Segoe UI"/>
      <w:sz w:val="18"/>
      <w:szCs w:val="18"/>
    </w:rPr>
  </w:style>
  <w:style w:type="character" w:styleId="688">
    <w:name w:val="annotation reference"/>
    <w:basedOn w:val="680"/>
    <w:uiPriority w:val="99"/>
    <w:semiHidden/>
    <w:unhideWhenUsed/>
    <w:rPr>
      <w:sz w:val="16"/>
      <w:szCs w:val="16"/>
    </w:rPr>
  </w:style>
  <w:style w:type="paragraph" w:styleId="689">
    <w:name w:val="annotation text"/>
    <w:basedOn w:val="677"/>
    <w:link w:val="690"/>
    <w:uiPriority w:val="99"/>
    <w:unhideWhenUsed/>
    <w:pPr>
      <w:spacing w:line="240" w:lineRule="auto"/>
    </w:pPr>
    <w:rPr>
      <w:sz w:val="20"/>
      <w:szCs w:val="20"/>
    </w:rPr>
  </w:style>
  <w:style w:type="character" w:styleId="690" w:customStyle="1">
    <w:name w:val="Текст примечания Знак"/>
    <w:basedOn w:val="680"/>
    <w:link w:val="689"/>
    <w:uiPriority w:val="99"/>
    <w:rPr>
      <w:sz w:val="20"/>
      <w:szCs w:val="20"/>
    </w:rPr>
  </w:style>
  <w:style w:type="paragraph" w:styleId="691">
    <w:name w:val="annotation subject"/>
    <w:basedOn w:val="689"/>
    <w:next w:val="689"/>
    <w:link w:val="692"/>
    <w:uiPriority w:val="99"/>
    <w:semiHidden/>
    <w:unhideWhenUsed/>
    <w:rPr>
      <w:b/>
      <w:bCs/>
    </w:rPr>
  </w:style>
  <w:style w:type="character" w:styleId="692" w:customStyle="1">
    <w:name w:val="Тема примечания Знак"/>
    <w:basedOn w:val="690"/>
    <w:link w:val="691"/>
    <w:uiPriority w:val="99"/>
    <w:semiHidden/>
    <w:rPr>
      <w:b/>
      <w:bCs/>
      <w:sz w:val="20"/>
      <w:szCs w:val="20"/>
    </w:rPr>
  </w:style>
  <w:style w:type="paragraph" w:styleId="693" w:customStyle="1">
    <w:name w:val="Статья"/>
    <w:basedOn w:val="677"/>
    <w:link w:val="694"/>
    <w:pPr>
      <w:numPr>
        <w:numId w:val="3"/>
      </w:numPr>
      <w:jc w:val="both"/>
      <w:spacing w:after="0" w:line="240" w:lineRule="auto"/>
      <w:widowControl w:val="off"/>
      <w:tabs>
        <w:tab w:val="left" w:pos="0" w:leader="none"/>
        <w:tab w:val="left" w:pos="993" w:leader="none"/>
      </w:tabs>
    </w:pPr>
    <w:rPr>
      <w:rFonts w:ascii="Arial" w:hAnsi="Arial" w:cs="Arial" w:eastAsia="Times New Roman"/>
      <w:sz w:val="24"/>
      <w:szCs w:val="24"/>
      <w:lang w:eastAsia="ru-RU"/>
    </w:rPr>
  </w:style>
  <w:style w:type="character" w:styleId="694" w:customStyle="1">
    <w:name w:val="Статья Знак"/>
    <w:link w:val="693"/>
    <w:rPr>
      <w:rFonts w:ascii="Arial" w:hAnsi="Arial" w:cs="Arial" w:eastAsia="Times New Roman"/>
      <w:sz w:val="24"/>
      <w:szCs w:val="24"/>
      <w:lang w:eastAsia="ru-RU"/>
    </w:rPr>
  </w:style>
  <w:style w:type="paragraph" w:styleId="695">
    <w:name w:val="Revision"/>
    <w:hidden/>
    <w:uiPriority w:val="99"/>
    <w:semiHidden/>
    <w:pPr>
      <w:spacing w:after="0" w:line="240" w:lineRule="auto"/>
    </w:pPr>
  </w:style>
  <w:style w:type="character" w:styleId="696" w:customStyle="1">
    <w:name w:val="Заголовок 1 Знак"/>
    <w:basedOn w:val="680"/>
    <w:link w:val="678"/>
    <w:uiPriority w:val="1"/>
    <w:rPr>
      <w:rFonts w:ascii="Times New Roman" w:hAnsi="Times New Roman" w:eastAsia="Times New Roman"/>
      <w:b/>
      <w:bCs/>
      <w:sz w:val="24"/>
      <w:szCs w:val="24"/>
      <w:lang w:val="en-US"/>
    </w:rPr>
  </w:style>
  <w:style w:type="character" w:styleId="697" w:customStyle="1">
    <w:name w:val="Заголовок 2 Знак"/>
    <w:basedOn w:val="680"/>
    <w:link w:val="679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/>
    </w:rPr>
  </w:style>
  <w:style w:type="numbering" w:styleId="698" w:customStyle="1">
    <w:name w:val="Нет списка1"/>
    <w:next w:val="682"/>
    <w:uiPriority w:val="99"/>
    <w:semiHidden/>
    <w:unhideWhenUsed/>
  </w:style>
  <w:style w:type="paragraph" w:styleId="699">
    <w:name w:val="Body Text"/>
    <w:basedOn w:val="677"/>
    <w:link w:val="700"/>
    <w:uiPriority w:val="1"/>
    <w:unhideWhenUsed/>
    <w:qFormat/>
    <w:pPr>
      <w:ind w:left="118" w:firstLine="567"/>
      <w:spacing w:after="0" w:line="240" w:lineRule="auto"/>
      <w:widowControl w:val="off"/>
    </w:pPr>
    <w:rPr>
      <w:rFonts w:ascii="Times New Roman" w:hAnsi="Times New Roman" w:eastAsia="Times New Roman"/>
      <w:sz w:val="24"/>
      <w:szCs w:val="24"/>
      <w:lang w:val="en-US"/>
    </w:rPr>
  </w:style>
  <w:style w:type="character" w:styleId="700" w:customStyle="1">
    <w:name w:val="Основной текст Знак"/>
    <w:basedOn w:val="680"/>
    <w:link w:val="699"/>
    <w:uiPriority w:val="1"/>
    <w:rPr>
      <w:rFonts w:ascii="Times New Roman" w:hAnsi="Times New Roman" w:eastAsia="Times New Roman"/>
      <w:sz w:val="24"/>
      <w:szCs w:val="24"/>
      <w:lang w:val="en-US"/>
    </w:rPr>
  </w:style>
  <w:style w:type="paragraph" w:styleId="701">
    <w:name w:val="Block Text"/>
    <w:basedOn w:val="677"/>
    <w:pPr>
      <w:ind w:left="567" w:right="-104"/>
      <w:jc w:val="both"/>
      <w:spacing w:after="0" w:line="240" w:lineRule="auto"/>
      <w:tabs>
        <w:tab w:val="left" w:pos="360" w:leader="none"/>
      </w:tabs>
    </w:pPr>
    <w:rPr>
      <w:rFonts w:ascii="Times New Roman" w:hAnsi="Times New Roman" w:cs="Times New Roman" w:eastAsia="Times New Roman"/>
      <w:sz w:val="24"/>
      <w:szCs w:val="20"/>
      <w:lang w:eastAsia="ru-RU"/>
    </w:rPr>
  </w:style>
  <w:style w:type="character" w:styleId="702">
    <w:name w:val="Strong"/>
    <w:qFormat/>
    <w:rPr>
      <w:b/>
      <w:bCs/>
    </w:rPr>
  </w:style>
  <w:style w:type="paragraph" w:styleId="703" w:customStyle="1">
    <w:name w:val="style_13371466210000000482msonormal"/>
    <w:basedOn w:val="677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704" w:customStyle="1">
    <w:name w:val="style_13371466210000000482s0"/>
  </w:style>
  <w:style w:type="paragraph" w:styleId="705">
    <w:name w:val="No Spacing"/>
    <w:uiPriority w:val="1"/>
    <w:qFormat/>
    <w:pPr>
      <w:spacing w:after="0" w:line="240" w:lineRule="auto"/>
      <w:widowControl w:val="off"/>
    </w:pPr>
    <w:rPr>
      <w:lang w:val="en-US"/>
    </w:rPr>
  </w:style>
  <w:style w:type="character" w:styleId="706">
    <w:name w:val="Hyperlink"/>
    <w:basedOn w:val="680"/>
    <w:uiPriority w:val="99"/>
    <w:unhideWhenUsed/>
    <w:rPr>
      <w:color w:val="0000FF" w:themeColor="hyperlink"/>
      <w:u w:val="single"/>
    </w:rPr>
  </w:style>
  <w:style w:type="paragraph" w:styleId="707">
    <w:name w:val="Intense Quote"/>
    <w:basedOn w:val="677"/>
    <w:next w:val="677"/>
    <w:link w:val="708"/>
    <w:uiPriority w:val="30"/>
    <w:qFormat/>
    <w:pPr>
      <w:ind w:left="936" w:right="936"/>
      <w:spacing w:before="200" w:after="280" w:line="240" w:lineRule="auto"/>
      <w:widowControl w:val="off"/>
      <w:pBdr>
        <w:bottom w:val="single" w:color="4F81BD" w:themeColor="accent1" w:sz="4" w:space="4"/>
      </w:pBdr>
    </w:pPr>
    <w:rPr>
      <w:b/>
      <w:bCs/>
      <w:i/>
      <w:iCs/>
      <w:color w:val="4F81BD" w:themeColor="accent1"/>
      <w:lang w:val="en-US"/>
    </w:rPr>
  </w:style>
  <w:style w:type="character" w:styleId="708" w:customStyle="1">
    <w:name w:val="Выделенная цитата Знак"/>
    <w:basedOn w:val="680"/>
    <w:link w:val="707"/>
    <w:uiPriority w:val="30"/>
    <w:rPr>
      <w:b/>
      <w:bCs/>
      <w:i/>
      <w:iCs/>
      <w:color w:val="4F81BD" w:themeColor="accent1"/>
      <w:lang w:val="en-US"/>
    </w:rPr>
  </w:style>
  <w:style w:type="character" w:styleId="709" w:customStyle="1">
    <w:name w:val="Основной текст_"/>
    <w:link w:val="713"/>
    <w:rPr>
      <w:rFonts w:ascii="Times New Roman" w:hAnsi="Times New Roman" w:eastAsia="Times New Roman"/>
      <w:spacing w:val="-1"/>
      <w:shd w:val="clear" w:color="auto" w:fill="ffffff"/>
    </w:rPr>
  </w:style>
  <w:style w:type="character" w:styleId="710" w:customStyle="1">
    <w:name w:val="Подпись к таблице_"/>
    <w:link w:val="714"/>
    <w:rPr>
      <w:rFonts w:ascii="Times New Roman" w:hAnsi="Times New Roman" w:eastAsia="Times New Roman"/>
      <w:spacing w:val="-1"/>
      <w:shd w:val="clear" w:color="auto" w:fill="ffffff"/>
    </w:rPr>
  </w:style>
  <w:style w:type="character" w:styleId="711" w:customStyle="1">
    <w:name w:val="Основной текст1"/>
    <w:rPr>
      <w:rFonts w:ascii="Times New Roman" w:hAnsi="Times New Roman" w:eastAsia="Times New Roman"/>
      <w:color w:val="000000"/>
      <w:spacing w:val="-1"/>
      <w:position w:val="0"/>
      <w:sz w:val="22"/>
      <w:szCs w:val="22"/>
      <w:shd w:val="clear" w:color="auto" w:fill="ffffff"/>
      <w:lang w:val="ru-RU"/>
    </w:rPr>
  </w:style>
  <w:style w:type="character" w:styleId="712" w:customStyle="1">
    <w:name w:val="Основной текст + Полужирный;Интервал 0 pt"/>
    <w:rPr>
      <w:rFonts w:ascii="Times New Roman" w:hAnsi="Times New Roman" w:eastAsia="Times New Roman"/>
      <w:b/>
      <w:bCs/>
      <w:color w:val="000000"/>
      <w:spacing w:val="-3"/>
      <w:position w:val="0"/>
      <w:sz w:val="22"/>
      <w:szCs w:val="22"/>
      <w:shd w:val="clear" w:color="auto" w:fill="ffffff"/>
      <w:lang w:val="ru-RU"/>
    </w:rPr>
  </w:style>
  <w:style w:type="paragraph" w:styleId="713" w:customStyle="1">
    <w:name w:val="Основной текст2"/>
    <w:basedOn w:val="677"/>
    <w:link w:val="709"/>
    <w:pPr>
      <w:ind w:hanging="420"/>
      <w:jc w:val="both"/>
      <w:spacing w:before="300" w:after="120" w:line="356" w:lineRule="exact"/>
      <w:shd w:val="clear" w:color="auto" w:fill="ffffff"/>
      <w:widowControl w:val="off"/>
    </w:pPr>
    <w:rPr>
      <w:rFonts w:ascii="Times New Roman" w:hAnsi="Times New Roman" w:eastAsia="Times New Roman"/>
      <w:spacing w:val="-1"/>
    </w:rPr>
  </w:style>
  <w:style w:type="paragraph" w:styleId="714" w:customStyle="1">
    <w:name w:val="Подпись к таблице"/>
    <w:basedOn w:val="677"/>
    <w:link w:val="710"/>
    <w:pPr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/>
      <w:spacing w:val="-1"/>
    </w:rPr>
  </w:style>
  <w:style w:type="character" w:styleId="715" w:customStyle="1">
    <w:name w:val="s0"/>
    <w:basedOn w:val="680"/>
    <w:rPr>
      <w:rFonts w:ascii="Times New Roman" w:hAnsi="Times New Roman" w:cs="Times New Roman"/>
      <w:color w:val="000000"/>
      <w:sz w:val="24"/>
      <w:szCs w:val="24"/>
      <w:u w:val="none"/>
    </w:rPr>
  </w:style>
  <w:style w:type="paragraph" w:styleId="716" w:customStyle="1">
    <w:name w:val="Bullet 1"/>
    <w:basedOn w:val="677"/>
    <w:link w:val="717"/>
    <w:pPr>
      <w:spacing w:after="0" w:line="240" w:lineRule="auto"/>
    </w:pPr>
    <w:rPr>
      <w:rFonts w:ascii="Arial" w:hAnsi="Arial" w:cs="Times New Roman" w:eastAsia="Calibri"/>
      <w:sz w:val="20"/>
      <w:szCs w:val="20"/>
      <w:lang w:val="en-GB"/>
    </w:rPr>
  </w:style>
  <w:style w:type="character" w:styleId="717" w:customStyle="1">
    <w:name w:val="Bullet 1 Char"/>
    <w:link w:val="716"/>
    <w:rPr>
      <w:rFonts w:ascii="Arial" w:hAnsi="Arial" w:cs="Times New Roman" w:eastAsia="Calibri"/>
      <w:sz w:val="20"/>
      <w:szCs w:val="20"/>
      <w:lang w:val="en-GB"/>
    </w:rPr>
  </w:style>
  <w:style w:type="paragraph" w:styleId="718" w:customStyle="1">
    <w:name w:val="Bullet 2"/>
    <w:basedOn w:val="716"/>
    <w:uiPriority w:val="99"/>
    <w:pPr>
      <w:numPr>
        <w:ilvl w:val="1"/>
        <w:numId w:val="36"/>
      </w:numPr>
      <w:ind w:left="1650" w:hanging="930"/>
      <w:tabs>
        <w:tab w:val="num" w:pos="360" w:leader="none"/>
        <w:tab w:val="clear" w:pos="1134" w:leader="none"/>
      </w:tabs>
    </w:pPr>
  </w:style>
  <w:style w:type="character" w:styleId="719">
    <w:name w:val="Unresolved Mention"/>
    <w:basedOn w:val="680"/>
    <w:uiPriority w:val="99"/>
    <w:semiHidden/>
    <w:unhideWhenUsed/>
    <w:rPr>
      <w:color w:val="605E5C"/>
      <w:shd w:val="clear" w:color="auto" w:fill="e1dfdd"/>
    </w:rPr>
  </w:style>
  <w:style w:type="table" w:styleId="720" w:customStyle="1">
    <w:name w:val="Сетка таблицы1"/>
    <w:basedOn w:val="681"/>
    <w:next w:val="685"/>
    <w:uiPriority w:val="39"/>
    <w:pPr>
      <w:spacing w:after="0" w:line="240" w:lineRule="auto"/>
    </w:pPr>
    <w:rPr>
      <w:rFonts w:eastAsia="Malgun Gothic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627F041D-672E-416D-8C09-AE1DCBD38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Абдигаппар</dc:creator>
  <cp:lastModifiedBy>Александра Шиляева</cp:lastModifiedBy>
  <cp:revision>3</cp:revision>
  <dcterms:created xsi:type="dcterms:W3CDTF">2023-07-04T09:12:00Z</dcterms:created>
  <dcterms:modified xsi:type="dcterms:W3CDTF">2023-07-05T09:06:04Z</dcterms:modified>
</cp:coreProperties>
</file>